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E1" w:rsidRPr="002F64F0" w:rsidRDefault="00E418E1" w:rsidP="00E418E1">
      <w:pPr>
        <w:pStyle w:val="Header"/>
        <w:tabs>
          <w:tab w:val="clear" w:pos="8640"/>
          <w:tab w:val="left" w:pos="195"/>
          <w:tab w:val="center" w:pos="4731"/>
        </w:tabs>
        <w:contextualSpacing/>
        <w:jc w:val="center"/>
        <w:rPr>
          <w:rFonts w:ascii="Corona LT Std" w:hAnsi="Corona LT Std"/>
          <w:sz w:val="32"/>
          <w:szCs w:val="22"/>
        </w:rPr>
      </w:pPr>
      <w:r w:rsidRPr="009662D4">
        <w:rPr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4375" cy="828675"/>
            <wp:effectExtent l="0" t="0" r="9525" b="9525"/>
            <wp:wrapNone/>
            <wp:docPr id="2" name="Picture 2" descr="G:\logo p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 p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34" cy="82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64F0">
        <w:rPr>
          <w:rFonts w:ascii="Corona LT Std" w:hAnsi="Corona LT Std"/>
          <w:sz w:val="32"/>
          <w:szCs w:val="22"/>
        </w:rPr>
        <w:t>PENGADILAN TINGGI AGAMA JAMBI</w:t>
      </w:r>
    </w:p>
    <w:p w:rsidR="00E418E1" w:rsidRPr="00AD2796" w:rsidRDefault="00E418E1" w:rsidP="00E418E1">
      <w:pPr>
        <w:tabs>
          <w:tab w:val="center" w:pos="4320"/>
        </w:tabs>
        <w:spacing w:after="0" w:line="240" w:lineRule="auto"/>
        <w:contextualSpacing/>
        <w:jc w:val="center"/>
        <w:rPr>
          <w:rFonts w:ascii="Corona LT Std" w:hAnsi="Corona LT Std"/>
        </w:rPr>
      </w:pPr>
      <w:r w:rsidRPr="00AD2796">
        <w:rPr>
          <w:rFonts w:ascii="Corona LT Std" w:hAnsi="Corona LT Std"/>
        </w:rPr>
        <w:t xml:space="preserve">JL. H. AGUS SALIM, </w:t>
      </w:r>
      <w:smartTag w:uri="urn:schemas-microsoft-com:office:smarttags" w:element="City">
        <w:smartTag w:uri="urn:schemas-microsoft-com:office:smarttags" w:element="place">
          <w:r w:rsidRPr="00AD2796">
            <w:rPr>
              <w:rFonts w:ascii="Corona LT Std" w:hAnsi="Corona LT Std"/>
            </w:rPr>
            <w:t>KOTA</w:t>
          </w:r>
        </w:smartTag>
      </w:smartTag>
      <w:r w:rsidRPr="00AD2796">
        <w:rPr>
          <w:rFonts w:ascii="Corona LT Std" w:hAnsi="Corona LT Std"/>
        </w:rPr>
        <w:t xml:space="preserve"> BARU JAMBI</w:t>
      </w:r>
    </w:p>
    <w:p w:rsidR="00E418E1" w:rsidRPr="00AD2796" w:rsidRDefault="00E418E1" w:rsidP="00E418E1">
      <w:pPr>
        <w:tabs>
          <w:tab w:val="center" w:pos="4320"/>
        </w:tabs>
        <w:spacing w:after="0" w:line="240" w:lineRule="auto"/>
        <w:contextualSpacing/>
        <w:jc w:val="center"/>
        <w:rPr>
          <w:rFonts w:ascii="Corona LT Std" w:hAnsi="Corona LT Std"/>
        </w:rPr>
      </w:pPr>
      <w:r w:rsidRPr="00AD2796">
        <w:rPr>
          <w:rFonts w:ascii="Corona LT Std" w:hAnsi="Corona LT Std"/>
        </w:rPr>
        <w:t>TELP. 0741 – 41092, 40131, 445559</w:t>
      </w:r>
    </w:p>
    <w:p w:rsidR="00E418E1" w:rsidRPr="00AD2796" w:rsidRDefault="00E418E1" w:rsidP="00E418E1">
      <w:pPr>
        <w:tabs>
          <w:tab w:val="center" w:pos="4320"/>
        </w:tabs>
        <w:spacing w:after="0" w:line="240" w:lineRule="auto"/>
        <w:contextualSpacing/>
        <w:jc w:val="center"/>
        <w:rPr>
          <w:rFonts w:ascii="Corona LT Std" w:hAnsi="Corona LT Std"/>
        </w:rPr>
      </w:pPr>
      <w:r w:rsidRPr="00AD2796">
        <w:rPr>
          <w:rFonts w:ascii="Corona LT Std" w:hAnsi="Corona LT Std"/>
        </w:rPr>
        <w:t>FAX. 0741 – 445293</w:t>
      </w:r>
    </w:p>
    <w:p w:rsidR="00E418E1" w:rsidRPr="00AD2796" w:rsidRDefault="00E418E1" w:rsidP="00E418E1">
      <w:pPr>
        <w:tabs>
          <w:tab w:val="center" w:pos="4320"/>
        </w:tabs>
        <w:spacing w:after="0" w:line="240" w:lineRule="auto"/>
        <w:contextualSpacing/>
        <w:jc w:val="center"/>
        <w:rPr>
          <w:rFonts w:ascii="Corona LT Std" w:hAnsi="Corona LT Std"/>
          <w:color w:val="000000"/>
        </w:rPr>
      </w:pPr>
      <w:proofErr w:type="gramStart"/>
      <w:r w:rsidRPr="00AD2796">
        <w:rPr>
          <w:rFonts w:ascii="Corona LT Std" w:hAnsi="Corona LT Std"/>
        </w:rPr>
        <w:t>Home Page :</w:t>
      </w:r>
      <w:proofErr w:type="gramEnd"/>
      <w:r w:rsidR="00EA4544">
        <w:fldChar w:fldCharType="begin"/>
      </w:r>
      <w:r w:rsidR="0080048C">
        <w:instrText>HYPERLINK "http://www.pta-jambi.net"</w:instrText>
      </w:r>
      <w:r w:rsidR="00EA4544">
        <w:fldChar w:fldCharType="separate"/>
      </w:r>
      <w:r w:rsidRPr="00AD2796">
        <w:rPr>
          <w:rStyle w:val="Hyperlink"/>
          <w:rFonts w:ascii="Corona LT Std" w:hAnsi="Corona LT Std"/>
        </w:rPr>
        <w:t>www.pta-jambi.net</w:t>
      </w:r>
      <w:r w:rsidR="00EA4544">
        <w:fldChar w:fldCharType="end"/>
      </w:r>
      <w:r w:rsidRPr="00AD2796">
        <w:rPr>
          <w:rFonts w:ascii="Corona LT Std" w:hAnsi="Corona LT Std"/>
          <w:color w:val="000000"/>
        </w:rPr>
        <w:t xml:space="preserve">  E-mail : </w:t>
      </w:r>
      <w:hyperlink r:id="rId6" w:history="1">
        <w:r w:rsidRPr="00AD2796">
          <w:rPr>
            <w:rStyle w:val="Hyperlink"/>
            <w:rFonts w:ascii="Corona LT Std" w:hAnsi="Corona LT Std"/>
            <w:color w:val="000000"/>
          </w:rPr>
          <w:t>pta-jambi@badilag.net</w:t>
        </w:r>
      </w:hyperlink>
    </w:p>
    <w:p w:rsidR="00E418E1" w:rsidRPr="00BF6F68" w:rsidRDefault="00EA4544" w:rsidP="00E418E1">
      <w:pPr>
        <w:pStyle w:val="NoSpacing"/>
        <w:spacing w:line="360" w:lineRule="auto"/>
        <w:jc w:val="center"/>
        <w:rPr>
          <w:rFonts w:ascii="Times New Roman" w:hAnsi="Times New Roman"/>
        </w:rPr>
      </w:pPr>
      <w:r w:rsidRPr="00EA4544">
        <w:rPr>
          <w:rFonts w:ascii="Times New Roman" w:hAnsi="Times New Roman"/>
          <w:noProof/>
          <w:sz w:val="24"/>
          <w:szCs w:val="24"/>
          <w:lang w:val="en-US"/>
        </w:rPr>
        <w:pict>
          <v:line id="Straight Connector 1" o:spid="_x0000_s1026" style="position:absolute;left:0;text-align:left;z-index:251659264;visibility:visible" from="-2.25pt,3.9pt" to="469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" strokeweight="2.25pt"/>
        </w:pict>
      </w:r>
    </w:p>
    <w:p w:rsidR="00E418E1" w:rsidRPr="00E418E1" w:rsidRDefault="00E418E1" w:rsidP="00E4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 xml:space="preserve">SURAT KEPUTUSAN </w:t>
      </w:r>
      <w:r>
        <w:rPr>
          <w:rFonts w:ascii="Times New Roman" w:hAnsi="Times New Roman" w:cs="Times New Roman"/>
          <w:b/>
          <w:sz w:val="24"/>
          <w:szCs w:val="24"/>
        </w:rPr>
        <w:t>KETUA PENGADILAN TINGGI AGAMA JAMBI</w:t>
      </w:r>
    </w:p>
    <w:p w:rsidR="00E418E1" w:rsidRPr="00E418E1" w:rsidRDefault="00A21EE7" w:rsidP="00E4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NOMOR :W5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-A/187/I/Kp.00/2015</w:t>
      </w:r>
    </w:p>
    <w:p w:rsidR="00E418E1" w:rsidRDefault="00E418E1" w:rsidP="00E4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E1" w:rsidRPr="00E418E1" w:rsidRDefault="00E418E1" w:rsidP="00E4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>TENTANG</w:t>
      </w:r>
    </w:p>
    <w:p w:rsidR="00E418E1" w:rsidRPr="00E418E1" w:rsidRDefault="00E418E1" w:rsidP="00E4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>PENETAPAN INDIKATOR KINERJA UTAMA</w:t>
      </w:r>
    </w:p>
    <w:p w:rsidR="00E418E1" w:rsidRPr="00E418E1" w:rsidRDefault="00E418E1" w:rsidP="00E4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E1">
        <w:rPr>
          <w:rFonts w:ascii="Times New Roman" w:hAnsi="Times New Roman" w:cs="Times New Roman"/>
          <w:b/>
          <w:sz w:val="24"/>
          <w:szCs w:val="24"/>
        </w:rPr>
        <w:t>PENGADILAN TINGGI AGAMA JAMBI</w:t>
      </w:r>
    </w:p>
    <w:p w:rsidR="00E418E1" w:rsidRPr="00E418E1" w:rsidRDefault="00E418E1" w:rsidP="00E41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3"/>
        <w:gridCol w:w="293"/>
        <w:gridCol w:w="293"/>
        <w:gridCol w:w="389"/>
        <w:gridCol w:w="7990"/>
        <w:gridCol w:w="90"/>
      </w:tblGrid>
      <w:tr w:rsidR="00E418E1" w:rsidRPr="00E418E1" w:rsidTr="00736121"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Menimbang</w:t>
            </w:r>
            <w:proofErr w:type="spellEnd"/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080" w:type="dxa"/>
            <w:gridSpan w:val="2"/>
          </w:tcPr>
          <w:p w:rsidR="00E418E1" w:rsidRPr="00E418E1" w:rsidRDefault="00E418E1" w:rsidP="00736121">
            <w:pPr>
              <w:spacing w:after="120"/>
              <w:ind w:right="115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Bahwa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untuk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melaksanakan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ketentuan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pasal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3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pasal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4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Menteri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Negara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Pendayagunaan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Aparatur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Negara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 PER/9/M.PAN/5/2007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Pedoman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Umum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Penetapan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Indikator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Utama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(IKU)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InstansiPemerintah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</w:tr>
      <w:tr w:rsidR="00E418E1" w:rsidRPr="00E418E1" w:rsidTr="00736121"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080" w:type="dxa"/>
            <w:gridSpan w:val="2"/>
          </w:tcPr>
          <w:p w:rsidR="00E418E1" w:rsidRPr="00E418E1" w:rsidRDefault="00E418E1" w:rsidP="00736121">
            <w:pPr>
              <w:spacing w:after="120"/>
              <w:ind w:right="115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Bahwa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="00D72BE5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berakhirnya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masa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Rencana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Pembangunan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Jangka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Menengah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(RPJM)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r w:rsidR="00791A47">
              <w:rPr>
                <w:rFonts w:ascii="Times New Roman" w:hAnsi="Times New Roman" w:cs="Times New Roman"/>
                <w:sz w:val="23"/>
                <w:szCs w:val="23"/>
              </w:rPr>
              <w:t>2015-2019</w:t>
            </w:r>
            <w:bookmarkStart w:id="0" w:name="_GoBack"/>
            <w:bookmarkEnd w:id="0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dimulainya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Rencana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Pembangunan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Jangka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Menengah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(RPJM)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2004 – 2009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maka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Pengadilan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Agama Jambi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perlu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meninjau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kembali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atau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mereview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untuk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penyempurnaan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Indikator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KinerjaUtama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(IKU).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Mengingat</w:t>
            </w:r>
            <w:proofErr w:type="spellEnd"/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990" w:type="dxa"/>
          </w:tcPr>
          <w:p w:rsidR="00E418E1" w:rsidRPr="00E418E1" w:rsidRDefault="00E418E1" w:rsidP="00736121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Undang-undang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3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2009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perubahan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kedua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atas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Undang-undangNomor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:14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1985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MahkamahAgung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990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Undang-undang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48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2009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Kekuasaan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Kehakiman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990" w:type="dxa"/>
          </w:tcPr>
          <w:p w:rsidR="00E418E1" w:rsidRPr="00E418E1" w:rsidRDefault="00E418E1" w:rsidP="00736121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Undang-undang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:50Tahun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2009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perubahan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kedua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atas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Undang-undangNomor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 7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1989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Peradilan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Agama.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990" w:type="dxa"/>
          </w:tcPr>
          <w:p w:rsidR="00E418E1" w:rsidRPr="00E418E1" w:rsidRDefault="00E418E1" w:rsidP="00736121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Pemerintah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: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8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2006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Pelaporan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Keuangan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Instansi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Pemerintah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990" w:type="dxa"/>
          </w:tcPr>
          <w:p w:rsidR="00E418E1" w:rsidRPr="00E418E1" w:rsidRDefault="00E418E1" w:rsidP="00736121">
            <w:pPr>
              <w:tabs>
                <w:tab w:val="left" w:pos="6712"/>
              </w:tabs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Presiden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7 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 2005  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Rencana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Pembangunan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Jangka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Menengah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Nasional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2004-2009.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990" w:type="dxa"/>
          </w:tcPr>
          <w:p w:rsidR="00E418E1" w:rsidRPr="00E418E1" w:rsidRDefault="00E418E1" w:rsidP="00736121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  <w:lang w:val="id-ID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PresidenNomor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9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2005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Kedudukan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Fungsi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Struktur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Organisasi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Tata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Kerja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990" w:type="dxa"/>
          </w:tcPr>
          <w:p w:rsidR="00E418E1" w:rsidRPr="00E418E1" w:rsidRDefault="00E418E1" w:rsidP="00736121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PresidenNomor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: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 13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2005 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Sekretariat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Mahkamah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Agung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990" w:type="dxa"/>
          </w:tcPr>
          <w:p w:rsidR="00E418E1" w:rsidRPr="00E418E1" w:rsidRDefault="00E418E1" w:rsidP="00736121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Presiden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 14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2005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Kepaniteraan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Pengadilan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Agama Jambi.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966" w:type="dxa"/>
            <w:gridSpan w:val="2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9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7990" w:type="dxa"/>
          </w:tcPr>
          <w:p w:rsidR="00E418E1" w:rsidRPr="00E418E1" w:rsidRDefault="00E418E1" w:rsidP="00736121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Menteri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  Negara    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Pendayagunaan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Aparatur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     Negara    </w:t>
            </w:r>
            <w:proofErr w:type="spellStart"/>
            <w:proofErr w:type="gram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Nomor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  <w:proofErr w:type="gram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PER/9 M.PAN/5/2007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Pedoman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Umum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Penetapan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Indikator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E418E1" w:rsidTr="00736121">
        <w:trPr>
          <w:gridAfter w:val="1"/>
          <w:wAfter w:w="90" w:type="dxa"/>
        </w:trPr>
        <w:tc>
          <w:tcPr>
            <w:tcW w:w="167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Memperhatikan</w:t>
            </w:r>
            <w:proofErr w:type="spellEnd"/>
          </w:p>
        </w:tc>
        <w:tc>
          <w:tcPr>
            <w:tcW w:w="293" w:type="dxa"/>
          </w:tcPr>
          <w:p w:rsidR="00E418E1" w:rsidRPr="00E418E1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8672" w:type="dxa"/>
            <w:gridSpan w:val="3"/>
          </w:tcPr>
          <w:p w:rsidR="00E418E1" w:rsidRPr="00E418E1" w:rsidRDefault="00E418E1" w:rsidP="00736121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Hasi</w:t>
            </w:r>
            <w:r w:rsidR="006D5E6B">
              <w:rPr>
                <w:rFonts w:ascii="Times New Roman" w:hAnsi="Times New Roman" w:cs="Times New Roman"/>
                <w:sz w:val="23"/>
                <w:szCs w:val="23"/>
              </w:rPr>
              <w:t>l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="006D5E6B">
              <w:rPr>
                <w:rFonts w:ascii="Times New Roman" w:hAnsi="Times New Roman" w:cs="Times New Roman"/>
                <w:sz w:val="23"/>
                <w:szCs w:val="23"/>
              </w:rPr>
              <w:t>Rapat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="006D5E6B">
              <w:rPr>
                <w:rFonts w:ascii="Times New Roman" w:hAnsi="Times New Roman" w:cs="Times New Roman"/>
                <w:sz w:val="23"/>
                <w:szCs w:val="23"/>
              </w:rPr>
              <w:t>Tanggal</w:t>
            </w:r>
            <w:proofErr w:type="spellEnd"/>
            <w:r w:rsidR="006D5E6B">
              <w:rPr>
                <w:rFonts w:ascii="Times New Roman" w:hAnsi="Times New Roman" w:cs="Times New Roman"/>
                <w:sz w:val="23"/>
                <w:szCs w:val="23"/>
              </w:rPr>
              <w:t xml:space="preserve"> 02 November 2013</w:t>
            </w:r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tentang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Pembahasan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Review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Indikator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Utama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(IKU)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disinkronisasikan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Rencana</w:t>
            </w:r>
            <w:proofErr w:type="spellEnd"/>
            <w:r w:rsidR="00B03A9A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Strategis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Renstra</w:t>
            </w:r>
            <w:proofErr w:type="spellEnd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Pengadil</w:t>
            </w:r>
            <w:r w:rsidR="006D5E6B">
              <w:rPr>
                <w:rFonts w:ascii="Times New Roman" w:hAnsi="Times New Roman" w:cs="Times New Roman"/>
                <w:sz w:val="23"/>
                <w:szCs w:val="23"/>
              </w:rPr>
              <w:t>an</w:t>
            </w:r>
            <w:proofErr w:type="spellEnd"/>
            <w:r w:rsidR="006D5E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6D5E6B"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 w:rsidR="006D5E6B">
              <w:rPr>
                <w:rFonts w:ascii="Times New Roman" w:hAnsi="Times New Roman" w:cs="Times New Roman"/>
                <w:sz w:val="23"/>
                <w:szCs w:val="23"/>
              </w:rPr>
              <w:t xml:space="preserve"> Agama Jambi </w:t>
            </w:r>
            <w:proofErr w:type="spellStart"/>
            <w:r w:rsidR="006D5E6B">
              <w:rPr>
                <w:rFonts w:ascii="Times New Roman" w:hAnsi="Times New Roman" w:cs="Times New Roman"/>
                <w:sz w:val="23"/>
                <w:szCs w:val="23"/>
              </w:rPr>
              <w:t>Tahun</w:t>
            </w:r>
            <w:proofErr w:type="spellEnd"/>
            <w:r w:rsidR="00EF08BD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r w:rsidR="00791A47">
              <w:rPr>
                <w:rFonts w:ascii="Times New Roman" w:hAnsi="Times New Roman" w:cs="Times New Roman"/>
                <w:sz w:val="23"/>
                <w:szCs w:val="23"/>
              </w:rPr>
              <w:t>2015-2019</w:t>
            </w: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E418E1" w:rsidRPr="00E418E1" w:rsidRDefault="00E418E1" w:rsidP="00E418E1">
      <w:pPr>
        <w:spacing w:before="120" w:after="120" w:line="240" w:lineRule="auto"/>
        <w:ind w:left="1980" w:hanging="19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18E1">
        <w:rPr>
          <w:rFonts w:ascii="Times New Roman" w:hAnsi="Times New Roman" w:cs="Times New Roman"/>
          <w:b/>
          <w:sz w:val="23"/>
          <w:szCs w:val="23"/>
        </w:rPr>
        <w:t>MEMUTUSKAN</w:t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3"/>
        <w:gridCol w:w="293"/>
        <w:gridCol w:w="8992"/>
      </w:tblGrid>
      <w:tr w:rsidR="00E418E1" w:rsidRPr="00573478" w:rsidTr="008C62E9">
        <w:tc>
          <w:tcPr>
            <w:tcW w:w="1353" w:type="dxa"/>
          </w:tcPr>
          <w:p w:rsidR="00E418E1" w:rsidRPr="00573478" w:rsidRDefault="00E418E1" w:rsidP="00F95DD4">
            <w:pPr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Menetapkan</w:t>
            </w:r>
            <w:proofErr w:type="spellEnd"/>
          </w:p>
        </w:tc>
        <w:tc>
          <w:tcPr>
            <w:tcW w:w="293" w:type="dxa"/>
          </w:tcPr>
          <w:p w:rsidR="00E418E1" w:rsidRPr="00573478" w:rsidRDefault="00E418E1" w:rsidP="00F95DD4">
            <w:pPr>
              <w:spacing w:after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3478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8992" w:type="dxa"/>
          </w:tcPr>
          <w:p w:rsidR="00E418E1" w:rsidRPr="00E418E1" w:rsidRDefault="00E418E1" w:rsidP="008C62E9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KEPUTUSAN  KETUA PENGADILAN TINGGI AGAMA JAMBI TENTANG  PENETAPAN  INDIKATOR KINERJA UTAMA PENGADILAN TINGGI</w:t>
            </w:r>
            <w:r w:rsidR="006D5E6B">
              <w:rPr>
                <w:rFonts w:ascii="Times New Roman" w:hAnsi="Times New Roman" w:cs="Times New Roman"/>
                <w:sz w:val="23"/>
                <w:szCs w:val="23"/>
              </w:rPr>
              <w:t xml:space="preserve"> AGAMA JAMBI TAHUN ANGGARAN 201</w:t>
            </w:r>
            <w:r w:rsidR="00791A4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E418E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573478" w:rsidTr="008C62E9">
        <w:tc>
          <w:tcPr>
            <w:tcW w:w="135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Pertama</w:t>
            </w:r>
            <w:proofErr w:type="spellEnd"/>
          </w:p>
        </w:tc>
        <w:tc>
          <w:tcPr>
            <w:tcW w:w="29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3478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8992" w:type="dxa"/>
          </w:tcPr>
          <w:p w:rsidR="00E418E1" w:rsidRPr="00573478" w:rsidRDefault="00E418E1" w:rsidP="008C62E9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Indikator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Utama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sebagaimana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tercantum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dalam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lampiran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ini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merupakan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acuan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 yang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digunakan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oleh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Pengadilan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Agama Jambi</w:t>
            </w:r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untuk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menetapkan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rencana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tahunan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menyampaikan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rencana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anggaran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menyusun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dokumen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penetapan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menyusun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laporan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akuntabilitas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serta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evaluasi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pencapaian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sesuai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dokumen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Rencana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Strategis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Pengadilan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Agama Jambi</w:t>
            </w:r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573478" w:rsidTr="008C62E9">
        <w:tc>
          <w:tcPr>
            <w:tcW w:w="135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Kedua</w:t>
            </w:r>
            <w:proofErr w:type="spellEnd"/>
          </w:p>
        </w:tc>
        <w:tc>
          <w:tcPr>
            <w:tcW w:w="29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992" w:type="dxa"/>
          </w:tcPr>
          <w:p w:rsidR="00E418E1" w:rsidRPr="00573478" w:rsidRDefault="00E418E1" w:rsidP="008C62E9">
            <w:pPr>
              <w:tabs>
                <w:tab w:val="left" w:pos="7714"/>
              </w:tabs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Penyusunan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Laporan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Akuntabilitas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Evaluasi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terhadap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pencapaian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dilakukan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oleh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setiap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Pengadilan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Agama Jambi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menyampaikannya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kepada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Sekretaris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Mahkamah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Agung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RI</w:t>
            </w:r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573478" w:rsidTr="008C62E9">
        <w:tc>
          <w:tcPr>
            <w:tcW w:w="135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Ketiga</w:t>
            </w:r>
            <w:proofErr w:type="spellEnd"/>
          </w:p>
        </w:tc>
        <w:tc>
          <w:tcPr>
            <w:tcW w:w="29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992" w:type="dxa"/>
          </w:tcPr>
          <w:p w:rsidR="00E418E1" w:rsidRPr="00573478" w:rsidRDefault="00E418E1" w:rsidP="008C62E9">
            <w:pPr>
              <w:spacing w:after="120"/>
              <w:ind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Dalam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rangka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lebih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meningkatkan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efektifitas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pelaksanaan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keputusan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ini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Hakim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Pengawas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Bidang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diberikan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tugas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untuk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 :</w:t>
            </w:r>
          </w:p>
        </w:tc>
      </w:tr>
      <w:tr w:rsidR="00E418E1" w:rsidRPr="00573478" w:rsidTr="008C62E9">
        <w:tc>
          <w:tcPr>
            <w:tcW w:w="135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992" w:type="dxa"/>
          </w:tcPr>
          <w:p w:rsidR="00E418E1" w:rsidRPr="00573478" w:rsidRDefault="00E418E1" w:rsidP="008C62E9">
            <w:pPr>
              <w:pStyle w:val="ListParagraph"/>
              <w:numPr>
                <w:ilvl w:val="0"/>
                <w:numId w:val="1"/>
              </w:numPr>
              <w:spacing w:after="0"/>
              <w:ind w:left="280" w:right="1062" w:hanging="2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 review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atas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capaian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setiap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Pengadilan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Agama Jambi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dalam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rangka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meyakinkan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keandalan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informasi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 yang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disajikan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dalam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laporana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kuntabilitas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kinerja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E418E1" w:rsidRPr="00BC7696" w:rsidRDefault="00E418E1" w:rsidP="008C62E9">
            <w:pPr>
              <w:pStyle w:val="ListParagraph"/>
              <w:numPr>
                <w:ilvl w:val="0"/>
                <w:numId w:val="1"/>
              </w:numPr>
              <w:spacing w:after="120"/>
              <w:ind w:left="280" w:right="1062" w:hanging="2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Melakukan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evaluasi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terhadap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keputusan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peraturan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ini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melaporkan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kepada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Ketua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Pengadilan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Agama Jambi</w:t>
            </w:r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418E1" w:rsidRPr="00573478" w:rsidTr="008C62E9">
        <w:tc>
          <w:tcPr>
            <w:tcW w:w="135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Keempat</w:t>
            </w:r>
            <w:proofErr w:type="spellEnd"/>
          </w:p>
        </w:tc>
        <w:tc>
          <w:tcPr>
            <w:tcW w:w="293" w:type="dxa"/>
          </w:tcPr>
          <w:p w:rsidR="00E418E1" w:rsidRPr="00573478" w:rsidRDefault="00E418E1" w:rsidP="00F95DD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992" w:type="dxa"/>
          </w:tcPr>
          <w:p w:rsidR="00E418E1" w:rsidRPr="00573478" w:rsidRDefault="00E418E1" w:rsidP="008C62E9">
            <w:pPr>
              <w:pStyle w:val="ListParagraph"/>
              <w:tabs>
                <w:tab w:val="left" w:pos="7714"/>
              </w:tabs>
              <w:ind w:left="0" w:right="106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Keputusan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ini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mulai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berlaku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sejak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tanggal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ditetapkan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dengan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ketentuan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apabila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kemudian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hari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terdapat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kekeliruan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akan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diperbaiki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sebagaimana</w:t>
            </w:r>
            <w:proofErr w:type="spellEnd"/>
            <w:r w:rsidR="008C62E9">
              <w:rPr>
                <w:rFonts w:ascii="Times New Roman" w:hAnsi="Times New Roman" w:cs="Times New Roman"/>
                <w:sz w:val="23"/>
                <w:szCs w:val="23"/>
                <w:lang w:val="id-ID"/>
              </w:rPr>
              <w:t xml:space="preserve"> </w:t>
            </w:r>
            <w:proofErr w:type="spellStart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mestinya</w:t>
            </w:r>
            <w:proofErr w:type="spellEnd"/>
            <w:r w:rsidRPr="0057347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E418E1" w:rsidRPr="00573478" w:rsidRDefault="008C62E9" w:rsidP="00E418E1">
      <w:pPr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id-ID"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7620</wp:posOffset>
            </wp:positionV>
            <wp:extent cx="2124075" cy="1600200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418E1" w:rsidRPr="00573478">
        <w:rPr>
          <w:rFonts w:ascii="Times New Roman" w:hAnsi="Times New Roman" w:cs="Times New Roman"/>
          <w:sz w:val="23"/>
          <w:szCs w:val="23"/>
        </w:rPr>
        <w:t>Ditetapkan</w:t>
      </w:r>
      <w:proofErr w:type="spellEnd"/>
      <w:r w:rsidR="00E418E1" w:rsidRPr="0057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8E1" w:rsidRPr="00573478">
        <w:rPr>
          <w:rFonts w:ascii="Times New Roman" w:hAnsi="Times New Roman" w:cs="Times New Roman"/>
          <w:sz w:val="23"/>
          <w:szCs w:val="23"/>
        </w:rPr>
        <w:t>di</w:t>
      </w:r>
      <w:proofErr w:type="spellEnd"/>
      <w:r w:rsidR="00E418E1" w:rsidRPr="00573478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E418E1">
        <w:rPr>
          <w:rFonts w:ascii="Times New Roman" w:hAnsi="Times New Roman" w:cs="Times New Roman"/>
          <w:sz w:val="23"/>
          <w:szCs w:val="23"/>
        </w:rPr>
        <w:t>Jambi</w:t>
      </w:r>
    </w:p>
    <w:p w:rsidR="00E418E1" w:rsidRDefault="00E418E1" w:rsidP="00E418E1">
      <w:pPr>
        <w:spacing w:after="0" w:line="240" w:lineRule="auto"/>
        <w:ind w:left="1627" w:hanging="1627"/>
        <w:contextualSpacing/>
        <w:jc w:val="both"/>
        <w:rPr>
          <w:rFonts w:ascii="Times New Roman" w:hAnsi="Times New Roman" w:cs="Times New Roman"/>
          <w:sz w:val="23"/>
          <w:szCs w:val="23"/>
          <w:lang w:val="id-ID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Pr="00573478">
        <w:rPr>
          <w:rFonts w:ascii="Times New Roman" w:hAnsi="Times New Roman" w:cs="Times New Roman"/>
          <w:sz w:val="23"/>
          <w:szCs w:val="23"/>
        </w:rPr>
        <w:t>PadaTanggal</w:t>
      </w:r>
      <w:proofErr w:type="spellEnd"/>
      <w:r w:rsidRPr="00573478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EF08BD">
        <w:rPr>
          <w:rFonts w:ascii="Times New Roman" w:hAnsi="Times New Roman" w:cs="Times New Roman"/>
          <w:sz w:val="23"/>
          <w:szCs w:val="23"/>
          <w:lang w:val="id-ID"/>
        </w:rPr>
        <w:t xml:space="preserve">6 </w:t>
      </w:r>
      <w:proofErr w:type="spellStart"/>
      <w:r w:rsidR="00A21EE7">
        <w:rPr>
          <w:rFonts w:ascii="Times New Roman" w:hAnsi="Times New Roman" w:cs="Times New Roman"/>
          <w:sz w:val="23"/>
          <w:szCs w:val="23"/>
        </w:rPr>
        <w:t>Januari</w:t>
      </w:r>
      <w:proofErr w:type="spellEnd"/>
      <w:r w:rsidR="00A21EE7">
        <w:rPr>
          <w:rFonts w:ascii="Times New Roman" w:hAnsi="Times New Roman" w:cs="Times New Roman"/>
          <w:sz w:val="23"/>
          <w:szCs w:val="23"/>
        </w:rPr>
        <w:t xml:space="preserve"> 2015</w:t>
      </w:r>
    </w:p>
    <w:p w:rsidR="008C62E9" w:rsidRPr="008C62E9" w:rsidRDefault="008C62E9" w:rsidP="00E418E1">
      <w:pPr>
        <w:spacing w:after="0" w:line="240" w:lineRule="auto"/>
        <w:ind w:left="1627" w:hanging="1627"/>
        <w:contextualSpacing/>
        <w:jc w:val="both"/>
        <w:rPr>
          <w:rFonts w:ascii="Times New Roman" w:hAnsi="Times New Roman" w:cs="Times New Roman"/>
          <w:sz w:val="23"/>
          <w:szCs w:val="23"/>
          <w:lang w:val="id-ID"/>
        </w:rPr>
      </w:pPr>
    </w:p>
    <w:p w:rsidR="00E418E1" w:rsidRPr="00573478" w:rsidRDefault="00E418E1" w:rsidP="00E418E1">
      <w:pPr>
        <w:spacing w:after="0" w:line="240" w:lineRule="auto"/>
        <w:ind w:left="1627" w:hanging="16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Ketua</w:t>
      </w:r>
      <w:proofErr w:type="spellEnd"/>
      <w:r w:rsidR="00D72BE5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Pengadilan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Tinggi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Agama Jambi</w:t>
      </w:r>
    </w:p>
    <w:p w:rsidR="00E418E1" w:rsidRDefault="00E418E1" w:rsidP="00E418E1">
      <w:pPr>
        <w:ind w:left="1620" w:hanging="1620"/>
        <w:jc w:val="both"/>
        <w:rPr>
          <w:rFonts w:ascii="Times New Roman" w:hAnsi="Times New Roman" w:cs="Times New Roman"/>
          <w:sz w:val="23"/>
          <w:szCs w:val="23"/>
        </w:rPr>
      </w:pPr>
    </w:p>
    <w:p w:rsidR="00E418E1" w:rsidRDefault="00E418E1" w:rsidP="00E418E1">
      <w:pPr>
        <w:ind w:left="1620" w:hanging="1620"/>
        <w:jc w:val="both"/>
        <w:rPr>
          <w:rFonts w:ascii="Times New Roman" w:hAnsi="Times New Roman" w:cs="Times New Roman"/>
          <w:sz w:val="23"/>
          <w:szCs w:val="23"/>
        </w:rPr>
      </w:pPr>
    </w:p>
    <w:p w:rsidR="00E418E1" w:rsidRPr="00573478" w:rsidRDefault="00E418E1" w:rsidP="00E418E1">
      <w:pPr>
        <w:ind w:left="1620" w:hanging="1620"/>
        <w:jc w:val="both"/>
        <w:rPr>
          <w:rFonts w:ascii="Times New Roman" w:hAnsi="Times New Roman" w:cs="Times New Roman"/>
          <w:sz w:val="23"/>
          <w:szCs w:val="23"/>
        </w:rPr>
      </w:pPr>
    </w:p>
    <w:p w:rsidR="00A21EE7" w:rsidRPr="00A21EE7" w:rsidRDefault="00EF08BD" w:rsidP="00A21EE7">
      <w:pPr>
        <w:spacing w:after="0" w:line="240" w:lineRule="auto"/>
        <w:ind w:left="4394"/>
        <w:contextualSpacing/>
        <w:jc w:val="both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id-ID"/>
        </w:rPr>
        <w:t xml:space="preserve">Dr. </w:t>
      </w:r>
      <w:r w:rsidR="00A21EE7" w:rsidRPr="00A21EE7">
        <w:rPr>
          <w:rFonts w:ascii="Times New Roman" w:hAnsi="Times New Roman" w:cs="Times New Roman"/>
          <w:b/>
          <w:color w:val="000000" w:themeColor="text1"/>
          <w:sz w:val="24"/>
        </w:rPr>
        <w:t xml:space="preserve">Drs. H. </w:t>
      </w:r>
      <w:proofErr w:type="spellStart"/>
      <w:r w:rsidR="00A21EE7" w:rsidRPr="00A21EE7">
        <w:rPr>
          <w:rFonts w:ascii="Times New Roman" w:hAnsi="Times New Roman" w:cs="Times New Roman"/>
          <w:b/>
          <w:color w:val="000000" w:themeColor="text1"/>
          <w:sz w:val="24"/>
        </w:rPr>
        <w:t>Djajusman</w:t>
      </w:r>
      <w:proofErr w:type="spellEnd"/>
      <w:r w:rsidR="00A21EE7" w:rsidRPr="00A21EE7">
        <w:rPr>
          <w:rFonts w:ascii="Times New Roman" w:hAnsi="Times New Roman" w:cs="Times New Roman"/>
          <w:b/>
          <w:color w:val="000000" w:themeColor="text1"/>
          <w:sz w:val="24"/>
        </w:rPr>
        <w:t xml:space="preserve"> MS, S.H., M.H., </w:t>
      </w:r>
      <w:proofErr w:type="spellStart"/>
      <w:r w:rsidR="00A21EE7" w:rsidRPr="00A21EE7">
        <w:rPr>
          <w:rFonts w:ascii="Times New Roman" w:hAnsi="Times New Roman" w:cs="Times New Roman"/>
          <w:b/>
          <w:color w:val="000000" w:themeColor="text1"/>
          <w:sz w:val="24"/>
        </w:rPr>
        <w:t>M.MPd</w:t>
      </w:r>
      <w:proofErr w:type="spellEnd"/>
    </w:p>
    <w:p w:rsidR="00A21EE7" w:rsidRPr="00A21EE7" w:rsidRDefault="00A21EE7" w:rsidP="00A21EE7">
      <w:pPr>
        <w:widowControl w:val="0"/>
        <w:autoSpaceDE w:val="0"/>
        <w:autoSpaceDN w:val="0"/>
        <w:adjustRightInd w:val="0"/>
        <w:spacing w:after="0" w:line="240" w:lineRule="auto"/>
        <w:ind w:left="4394" w:right="49"/>
        <w:contextualSpacing/>
        <w:rPr>
          <w:rFonts w:ascii="Times New Roman" w:hAnsi="Times New Roman" w:cs="Times New Roman"/>
          <w:color w:val="000000"/>
          <w:sz w:val="24"/>
        </w:rPr>
      </w:pPr>
      <w:r w:rsidRPr="00A21EE7">
        <w:rPr>
          <w:rFonts w:ascii="Times New Roman" w:hAnsi="Times New Roman" w:cs="Times New Roman"/>
          <w:sz w:val="24"/>
          <w:lang w:val="sv-SE"/>
        </w:rPr>
        <w:t xml:space="preserve">NIP. </w:t>
      </w:r>
      <w:r w:rsidRPr="00A21EE7">
        <w:rPr>
          <w:rFonts w:ascii="Times New Roman" w:hAnsi="Times New Roman" w:cs="Times New Roman"/>
          <w:color w:val="000000" w:themeColor="text1"/>
          <w:sz w:val="24"/>
        </w:rPr>
        <w:t>19500317 197611 1 001</w:t>
      </w:r>
    </w:p>
    <w:p w:rsidR="00BA55B9" w:rsidRDefault="00BA55B9"/>
    <w:sectPr w:rsidR="00BA55B9" w:rsidSect="00A21EE7">
      <w:pgSz w:w="12240" w:h="15840" w:code="1"/>
      <w:pgMar w:top="1134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ona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8052A"/>
    <w:multiLevelType w:val="hybridMultilevel"/>
    <w:tmpl w:val="5CC44F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8E1"/>
    <w:rsid w:val="0036452D"/>
    <w:rsid w:val="003B6F77"/>
    <w:rsid w:val="004D676A"/>
    <w:rsid w:val="006D5E6B"/>
    <w:rsid w:val="00736121"/>
    <w:rsid w:val="00791A47"/>
    <w:rsid w:val="0080048C"/>
    <w:rsid w:val="008C62E9"/>
    <w:rsid w:val="00927806"/>
    <w:rsid w:val="00A21EE7"/>
    <w:rsid w:val="00B03A9A"/>
    <w:rsid w:val="00BA55B9"/>
    <w:rsid w:val="00D72BE5"/>
    <w:rsid w:val="00E418E1"/>
    <w:rsid w:val="00EA4544"/>
    <w:rsid w:val="00EF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E1"/>
    <w:pPr>
      <w:ind w:left="720"/>
      <w:contextualSpacing/>
    </w:pPr>
  </w:style>
  <w:style w:type="paragraph" w:styleId="NoSpacing">
    <w:name w:val="No Spacing"/>
    <w:uiPriority w:val="1"/>
    <w:qFormat/>
    <w:rsid w:val="00E418E1"/>
    <w:pPr>
      <w:spacing w:after="0" w:line="240" w:lineRule="auto"/>
    </w:pPr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59"/>
    <w:rsid w:val="00E41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418E1"/>
    <w:pPr>
      <w:tabs>
        <w:tab w:val="center" w:pos="4320"/>
        <w:tab w:val="right" w:pos="8640"/>
      </w:tabs>
      <w:spacing w:after="0" w:line="240" w:lineRule="auto"/>
    </w:pPr>
    <w:rPr>
      <w:rFonts w:ascii="Abadi MT Condensed Light" w:eastAsia="SimSun" w:hAnsi="Abadi MT Condensed Light" w:cs="Times New Roman"/>
      <w:sz w:val="14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E418E1"/>
    <w:rPr>
      <w:rFonts w:ascii="Abadi MT Condensed Light" w:eastAsia="SimSun" w:hAnsi="Abadi MT Condensed Light" w:cs="Times New Roman"/>
      <w:sz w:val="144"/>
      <w:szCs w:val="24"/>
      <w:lang w:val="en-GB"/>
    </w:rPr>
  </w:style>
  <w:style w:type="character" w:styleId="Hyperlink">
    <w:name w:val="Hyperlink"/>
    <w:rsid w:val="00E418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a-jambi@badilag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</dc:creator>
  <cp:keywords/>
  <dc:description/>
  <cp:lastModifiedBy>User</cp:lastModifiedBy>
  <cp:revision>8</cp:revision>
  <cp:lastPrinted>2015-09-28T07:35:00Z</cp:lastPrinted>
  <dcterms:created xsi:type="dcterms:W3CDTF">2016-02-24T03:43:00Z</dcterms:created>
  <dcterms:modified xsi:type="dcterms:W3CDTF">2016-03-14T10:52:00Z</dcterms:modified>
</cp:coreProperties>
</file>